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4CEEF" w14:textId="4A3A70F2" w:rsidR="00F23811" w:rsidRPr="008B017B" w:rsidRDefault="00F23811" w:rsidP="00F23811">
      <w:pPr>
        <w:rPr>
          <w:rFonts w:ascii="Calibri" w:hAnsi="Calibri"/>
        </w:rPr>
      </w:pPr>
      <w:r w:rsidRPr="002F460C">
        <w:rPr>
          <w:noProof/>
          <w:lang w:eastAsia="hr-HR"/>
        </w:rPr>
        <w:drawing>
          <wp:inline distT="0" distB="0" distL="0" distR="0" wp14:anchorId="35590D02" wp14:editId="18AD44F0">
            <wp:extent cx="495300" cy="581025"/>
            <wp:effectExtent l="0" t="0" r="0" b="9525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6C0F" w14:textId="77777777" w:rsidR="00F23811" w:rsidRPr="00F23811" w:rsidRDefault="00F23811" w:rsidP="00F23811">
      <w:pPr>
        <w:pStyle w:val="NoSpacing"/>
        <w:rPr>
          <w:b/>
        </w:rPr>
      </w:pPr>
      <w:r w:rsidRPr="00F23811">
        <w:rPr>
          <w:b/>
        </w:rPr>
        <w:t>REPUBLIKA HRVATSKA</w:t>
      </w:r>
    </w:p>
    <w:p w14:paraId="16A54EFF" w14:textId="77777777" w:rsidR="00F23811" w:rsidRPr="00F23811" w:rsidRDefault="00F23811" w:rsidP="00F23811">
      <w:pPr>
        <w:pStyle w:val="NoSpacing"/>
        <w:rPr>
          <w:b/>
          <w:sz w:val="18"/>
          <w:szCs w:val="18"/>
        </w:rPr>
      </w:pPr>
      <w:r w:rsidRPr="00F23811">
        <w:rPr>
          <w:b/>
          <w:sz w:val="18"/>
          <w:szCs w:val="18"/>
        </w:rPr>
        <w:t>DUBROVAČKO - NERETVANSKA  ŽUPANIJA</w:t>
      </w:r>
    </w:p>
    <w:p w14:paraId="5ED4546B" w14:textId="77777777" w:rsidR="00F23811" w:rsidRPr="00F23811" w:rsidRDefault="00F23811" w:rsidP="00F23811">
      <w:pPr>
        <w:pStyle w:val="NoSpacing"/>
        <w:rPr>
          <w:b/>
        </w:rPr>
      </w:pPr>
      <w:r w:rsidRPr="00F23811">
        <w:rPr>
          <w:b/>
        </w:rPr>
        <w:t>OPĆINA KONAVLE</w:t>
      </w:r>
    </w:p>
    <w:p w14:paraId="12B7672A" w14:textId="77777777" w:rsidR="00F23811" w:rsidRPr="00F23811" w:rsidRDefault="00F23811" w:rsidP="00F23811">
      <w:pPr>
        <w:pStyle w:val="NoSpacing"/>
        <w:rPr>
          <w:b/>
        </w:rPr>
      </w:pPr>
    </w:p>
    <w:p w14:paraId="20FD6504" w14:textId="77777777" w:rsidR="00F23811" w:rsidRPr="00F23811" w:rsidRDefault="00F23811" w:rsidP="00F23811">
      <w:pPr>
        <w:pStyle w:val="NoSpacing"/>
        <w:rPr>
          <w:b/>
        </w:rPr>
      </w:pPr>
      <w:r w:rsidRPr="00F23811">
        <w:rPr>
          <w:b/>
        </w:rPr>
        <w:t>OPĆINSKO VIJEĆE</w:t>
      </w:r>
    </w:p>
    <w:p w14:paraId="2D54FD8D" w14:textId="340DD0A1" w:rsidR="00240D96" w:rsidRDefault="00240D96" w:rsidP="00240D96">
      <w:pPr>
        <w:rPr>
          <w:rFonts w:ascii="Times New Roman" w:hAnsi="Times New Roman" w:cs="Times New Roman"/>
          <w:b/>
          <w:sz w:val="24"/>
          <w:szCs w:val="24"/>
        </w:rPr>
      </w:pPr>
    </w:p>
    <w:p w14:paraId="7F591B5B" w14:textId="0DA1BE68" w:rsidR="00B41C9D" w:rsidRPr="00C52E9B" w:rsidRDefault="00074F3E" w:rsidP="00B41C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E9B">
        <w:rPr>
          <w:rFonts w:ascii="Times New Roman" w:hAnsi="Times New Roman" w:cs="Times New Roman"/>
          <w:bCs/>
          <w:sz w:val="24"/>
          <w:szCs w:val="24"/>
        </w:rPr>
        <w:t>Na temelju čl. 20. Zakona o lokalnim porezima (Narodne novine, br.115/16,</w:t>
      </w:r>
      <w:r w:rsidR="00850CAB">
        <w:rPr>
          <w:rFonts w:ascii="Times New Roman" w:hAnsi="Times New Roman" w:cs="Times New Roman"/>
          <w:bCs/>
          <w:sz w:val="24"/>
          <w:szCs w:val="24"/>
        </w:rPr>
        <w:t xml:space="preserve"> 101/17, </w:t>
      </w:r>
      <w:r w:rsidRPr="00C52E9B">
        <w:rPr>
          <w:rFonts w:ascii="Times New Roman" w:hAnsi="Times New Roman" w:cs="Times New Roman"/>
          <w:bCs/>
          <w:sz w:val="24"/>
          <w:szCs w:val="24"/>
        </w:rPr>
        <w:t>114/22, 114/23, 152/24) te čl</w:t>
      </w:r>
      <w:r w:rsidR="00850CAB">
        <w:rPr>
          <w:rFonts w:ascii="Times New Roman" w:hAnsi="Times New Roman" w:cs="Times New Roman"/>
          <w:bCs/>
          <w:sz w:val="24"/>
          <w:szCs w:val="24"/>
        </w:rPr>
        <w:t xml:space="preserve">anka </w:t>
      </w:r>
      <w:r w:rsidR="00850CAB" w:rsidRPr="00850CAB">
        <w:rPr>
          <w:rFonts w:ascii="Times New Roman" w:hAnsi="Times New Roman" w:cs="Times New Roman"/>
          <w:bCs/>
          <w:sz w:val="24"/>
          <w:szCs w:val="24"/>
        </w:rPr>
        <w:t>i članka 31. Statuta Općine Konavle (Službeni glasnik Općine Konavle broj  7/21 - pročišćeni tekst), Općinsko vijeće Općine Konavle na svojoj ______. sjednici održanoj dana _________ 2025. godine, donosi</w:t>
      </w:r>
    </w:p>
    <w:p w14:paraId="362898A5" w14:textId="77777777" w:rsidR="00074F3E" w:rsidRPr="00C52E9B" w:rsidRDefault="00074F3E" w:rsidP="00074F3E">
      <w:pPr>
        <w:rPr>
          <w:rFonts w:ascii="Times New Roman" w:hAnsi="Times New Roman" w:cs="Times New Roman"/>
          <w:bCs/>
          <w:sz w:val="24"/>
          <w:szCs w:val="24"/>
        </w:rPr>
      </w:pPr>
    </w:p>
    <w:p w14:paraId="6F5924BE" w14:textId="77777777" w:rsidR="00074F3E" w:rsidRDefault="00074F3E" w:rsidP="00C52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F0B98" w14:textId="6CD95E5B" w:rsidR="00074F3E" w:rsidRPr="00C52E9B" w:rsidRDefault="00074F3E" w:rsidP="00C52E9B">
      <w:pPr>
        <w:tabs>
          <w:tab w:val="left" w:pos="34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 xml:space="preserve">ODLUKU O </w:t>
      </w:r>
      <w:r w:rsidR="005D6FA1">
        <w:rPr>
          <w:rFonts w:ascii="Times New Roman" w:hAnsi="Times New Roman" w:cs="Times New Roman"/>
          <w:b/>
          <w:bCs/>
          <w:sz w:val="24"/>
          <w:szCs w:val="24"/>
        </w:rPr>
        <w:t>OPĆINSKIM POREZIMA OPĆINE KONAVLE</w:t>
      </w:r>
      <w:bookmarkStart w:id="0" w:name="_GoBack"/>
      <w:bookmarkEnd w:id="0"/>
    </w:p>
    <w:p w14:paraId="78AF0C47" w14:textId="77777777" w:rsidR="00074F3E" w:rsidRPr="00C52E9B" w:rsidRDefault="00074F3E" w:rsidP="00C52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86E16" w14:textId="11124D16" w:rsidR="00074F3E" w:rsidRPr="00C52E9B" w:rsidRDefault="00074F3E" w:rsidP="00850CAB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85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TEMELJNE ODREDBE</w:t>
      </w:r>
    </w:p>
    <w:p w14:paraId="06240C67" w14:textId="77777777" w:rsidR="00850CAB" w:rsidRDefault="00850CAB" w:rsidP="00074F3E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3A9E997" w14:textId="6ECBB15E" w:rsidR="00074F3E" w:rsidRPr="00C52E9B" w:rsidRDefault="00074F3E" w:rsidP="00074F3E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ab/>
        <w:t>Članak 1.</w:t>
      </w:r>
    </w:p>
    <w:p w14:paraId="0F4F7A7F" w14:textId="178EEF44" w:rsidR="00074F3E" w:rsidRDefault="00074F3E" w:rsidP="00AA14AC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se Odlukom propisuju vrste poreza koje pripadaju Općini</w:t>
      </w:r>
      <w:r w:rsidR="00850CAB">
        <w:rPr>
          <w:rFonts w:ascii="Times New Roman" w:hAnsi="Times New Roman" w:cs="Times New Roman"/>
          <w:sz w:val="24"/>
          <w:szCs w:val="24"/>
        </w:rPr>
        <w:t xml:space="preserve"> Konavle,</w:t>
      </w:r>
      <w:r>
        <w:rPr>
          <w:rFonts w:ascii="Times New Roman" w:hAnsi="Times New Roman" w:cs="Times New Roman"/>
          <w:sz w:val="24"/>
          <w:szCs w:val="24"/>
        </w:rPr>
        <w:t xml:space="preserve"> visina stope poreza na potrošnju, visina poreza na nekretnine, visina poreza na javne površine, te nadležno tijelo za utvrđivanje, evidentiranje, nadzor, naplatu i ovrhu radi naplate navedenih poreza</w:t>
      </w:r>
    </w:p>
    <w:p w14:paraId="2052228D" w14:textId="77777777" w:rsidR="00074F3E" w:rsidRDefault="00074F3E" w:rsidP="00AA14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56C66" w14:textId="6C9C33B8" w:rsidR="00074F3E" w:rsidRPr="00C52E9B" w:rsidRDefault="00074F3E" w:rsidP="00850CAB">
      <w:pPr>
        <w:tabs>
          <w:tab w:val="left" w:pos="39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>II. VRSTE POREZA</w:t>
      </w:r>
    </w:p>
    <w:p w14:paraId="5292F326" w14:textId="3F78FC4D" w:rsidR="00074F3E" w:rsidRPr="00C52E9B" w:rsidRDefault="00074F3E" w:rsidP="00AA14AC">
      <w:pPr>
        <w:tabs>
          <w:tab w:val="left" w:pos="3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77D0A9A" w14:textId="5589F426" w:rsidR="00074F3E" w:rsidRDefault="00074F3E" w:rsidP="00AA14AC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porezi jesu:</w:t>
      </w:r>
    </w:p>
    <w:p w14:paraId="04D730AF" w14:textId="2430BE63" w:rsidR="00074F3E" w:rsidRDefault="00074F3E" w:rsidP="00AA14AC">
      <w:pPr>
        <w:pStyle w:val="ListParagraph"/>
        <w:numPr>
          <w:ilvl w:val="0"/>
          <w:numId w:val="7"/>
        </w:num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potrošnju</w:t>
      </w:r>
    </w:p>
    <w:p w14:paraId="387794BE" w14:textId="1A4F975C" w:rsidR="00074F3E" w:rsidRDefault="00074F3E" w:rsidP="00AA14AC">
      <w:pPr>
        <w:pStyle w:val="ListParagraph"/>
        <w:numPr>
          <w:ilvl w:val="0"/>
          <w:numId w:val="7"/>
        </w:num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nekretnine</w:t>
      </w:r>
    </w:p>
    <w:p w14:paraId="7A453526" w14:textId="17C1644D" w:rsidR="00074F3E" w:rsidRDefault="00074F3E" w:rsidP="00AA14AC">
      <w:pPr>
        <w:pStyle w:val="ListParagraph"/>
        <w:numPr>
          <w:ilvl w:val="0"/>
          <w:numId w:val="7"/>
        </w:num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javne površine</w:t>
      </w:r>
    </w:p>
    <w:p w14:paraId="617DC93C" w14:textId="77777777" w:rsidR="00850CAB" w:rsidRDefault="00850CAB" w:rsidP="00850CAB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4CB46B5" w14:textId="1F73E387" w:rsidR="00074F3E" w:rsidRPr="00C52E9B" w:rsidRDefault="00074F3E" w:rsidP="00850CAB">
      <w:pPr>
        <w:tabs>
          <w:tab w:val="left" w:pos="4020"/>
        </w:tabs>
        <w:rPr>
          <w:b/>
          <w:bCs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D18F4" w:rsidRPr="00C52E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. POREZ NA POTROŠNJU</w:t>
      </w:r>
    </w:p>
    <w:p w14:paraId="3C70BD19" w14:textId="77777777" w:rsidR="00074F3E" w:rsidRPr="00C52E9B" w:rsidRDefault="00074F3E" w:rsidP="00AA14AC">
      <w:pPr>
        <w:jc w:val="center"/>
        <w:rPr>
          <w:b/>
          <w:bCs/>
        </w:rPr>
      </w:pPr>
    </w:p>
    <w:p w14:paraId="16C6EF96" w14:textId="3BEC6572" w:rsidR="00074F3E" w:rsidRPr="00C52E9B" w:rsidRDefault="00074F3E" w:rsidP="00AA14AC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7217E90F" w14:textId="51DA235A" w:rsidR="00850CAB" w:rsidRPr="00850CAB" w:rsidRDefault="00850CAB" w:rsidP="00850CA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850CAB">
        <w:rPr>
          <w:rFonts w:ascii="Times New Roman" w:hAnsi="Times New Roman" w:cs="Times New Roman"/>
          <w:sz w:val="24"/>
          <w:szCs w:val="24"/>
        </w:rPr>
        <w:t>Porez na potrošnju plaća se na potrošnju alkoholnih pića (vinjak, rakiju i žestoka pića), prirodnih vina, specijalnih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CAB">
        <w:rPr>
          <w:rFonts w:ascii="Times New Roman" w:hAnsi="Times New Roman" w:cs="Times New Roman"/>
          <w:sz w:val="24"/>
          <w:szCs w:val="24"/>
        </w:rPr>
        <w:t>vina, piva i bezalkoholnih pića u ugostiteljskim objektima na području Općine Konavle.</w:t>
      </w:r>
    </w:p>
    <w:p w14:paraId="1A54EA0D" w14:textId="49C3F03E" w:rsidR="00850CAB" w:rsidRPr="00850CAB" w:rsidRDefault="00850CAB" w:rsidP="00850CA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850CAB">
        <w:rPr>
          <w:rFonts w:ascii="Times New Roman" w:hAnsi="Times New Roman" w:cs="Times New Roman"/>
          <w:sz w:val="24"/>
          <w:szCs w:val="24"/>
        </w:rPr>
        <w:t xml:space="preserve">Obveznik poreza na potrošnju je svaka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850CAB">
        <w:rPr>
          <w:rFonts w:ascii="Times New Roman" w:hAnsi="Times New Roman" w:cs="Times New Roman"/>
          <w:sz w:val="24"/>
          <w:szCs w:val="24"/>
        </w:rPr>
        <w:t>zička i pravna osoba koja pruža ugostiteljske usluge.</w:t>
      </w:r>
    </w:p>
    <w:p w14:paraId="0704B881" w14:textId="7D7597B2" w:rsidR="00850CAB" w:rsidRDefault="00850CAB" w:rsidP="00850CAB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850CAB">
        <w:rPr>
          <w:rFonts w:ascii="Times New Roman" w:hAnsi="Times New Roman" w:cs="Times New Roman"/>
          <w:sz w:val="24"/>
          <w:szCs w:val="24"/>
        </w:rPr>
        <w:t>Osnovicu poreza na potrošnju čini prodajna cijena pića koje se proda u ugostiteljskom objektu, a u koju nije uključe</w:t>
      </w:r>
      <w:r w:rsidR="00991EF3">
        <w:rPr>
          <w:rFonts w:ascii="Times New Roman" w:hAnsi="Times New Roman" w:cs="Times New Roman"/>
          <w:sz w:val="24"/>
          <w:szCs w:val="24"/>
        </w:rPr>
        <w:t>n porez na dodanu vrijednost.</w:t>
      </w:r>
    </w:p>
    <w:p w14:paraId="7F480674" w14:textId="77777777" w:rsidR="00850CAB" w:rsidRDefault="00850CAB" w:rsidP="00AA14A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14:paraId="092C8495" w14:textId="28DF0E0C" w:rsidR="00850CAB" w:rsidRPr="00991EF3" w:rsidRDefault="00991EF3" w:rsidP="00991EF3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8A21191" w14:textId="145680E5" w:rsidR="00074F3E" w:rsidRDefault="00074F3E" w:rsidP="00AA14A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poreza na potrošnju iznosi 3%.</w:t>
      </w:r>
    </w:p>
    <w:p w14:paraId="5CFD5F44" w14:textId="3FA8E11A" w:rsidR="00991EF3" w:rsidRPr="00991EF3" w:rsidRDefault="00991EF3" w:rsidP="00991EF3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F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C9188CE" w14:textId="77777777" w:rsidR="00991EF3" w:rsidRPr="00991EF3" w:rsidRDefault="00991EF3" w:rsidP="00991EF3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991EF3">
        <w:rPr>
          <w:rFonts w:ascii="Times New Roman" w:hAnsi="Times New Roman" w:cs="Times New Roman"/>
          <w:sz w:val="24"/>
          <w:szCs w:val="24"/>
        </w:rPr>
        <w:t>Porez na potrošnju iskazuje se na obrascu PP-MI-PO i predaje najkasnije do 20. dana u mjesecu za prethodni mjesec.</w:t>
      </w:r>
    </w:p>
    <w:p w14:paraId="1C7F8F3D" w14:textId="6A60B26D" w:rsidR="00991EF3" w:rsidRDefault="00991EF3" w:rsidP="00AA14A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991EF3">
        <w:rPr>
          <w:rFonts w:ascii="Times New Roman" w:hAnsi="Times New Roman" w:cs="Times New Roman"/>
          <w:sz w:val="24"/>
          <w:szCs w:val="24"/>
        </w:rPr>
        <w:t>Obračunati porez na potrošnju obveznik poreza plaća do posljednjeg dana u mjesecu za prethodni mjesec.</w:t>
      </w:r>
      <w:r w:rsidRPr="00991EF3">
        <w:rPr>
          <w:rFonts w:ascii="Times New Roman" w:hAnsi="Times New Roman" w:cs="Times New Roman"/>
          <w:sz w:val="24"/>
          <w:szCs w:val="24"/>
        </w:rPr>
        <w:cr/>
      </w:r>
    </w:p>
    <w:p w14:paraId="4AC75F96" w14:textId="4D1F0046" w:rsidR="00074F3E" w:rsidRPr="00C52E9B" w:rsidRDefault="00074F3E" w:rsidP="00C52E9B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91EF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F129C0" w14:textId="43C98D78" w:rsidR="00074F3E" w:rsidRDefault="00074F3E" w:rsidP="00074F3E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Poslove utvrđivanja, evidentiranja, nadzora, naplate i ovrhe radi naplate poreza na potrošnju obavlja Ministarstvo financija, mjesno nadležna porezna uprava.</w:t>
      </w:r>
    </w:p>
    <w:p w14:paraId="7A422D3D" w14:textId="77777777" w:rsidR="002D18F4" w:rsidRPr="002D18F4" w:rsidRDefault="002D18F4" w:rsidP="002D18F4">
      <w:pPr>
        <w:rPr>
          <w:rFonts w:ascii="Times New Roman" w:hAnsi="Times New Roman" w:cs="Times New Roman"/>
          <w:sz w:val="24"/>
          <w:szCs w:val="24"/>
        </w:rPr>
      </w:pPr>
    </w:p>
    <w:p w14:paraId="283EC403" w14:textId="466572FB" w:rsidR="002D18F4" w:rsidRPr="00AA14AC" w:rsidRDefault="00AA14AC" w:rsidP="00850C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4AC">
        <w:rPr>
          <w:rFonts w:ascii="Times New Roman" w:hAnsi="Times New Roman" w:cs="Times New Roman"/>
          <w:b/>
          <w:bCs/>
          <w:sz w:val="24"/>
          <w:szCs w:val="24"/>
        </w:rPr>
        <w:t>IV. POREZ NA KORIŠTENJE JAVNE POVRŠINE</w:t>
      </w:r>
    </w:p>
    <w:p w14:paraId="1AA9FE01" w14:textId="42F5C85D" w:rsidR="00991EF3" w:rsidRDefault="00991EF3" w:rsidP="00C52E9B">
      <w:pPr>
        <w:tabs>
          <w:tab w:val="left" w:pos="3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6A1474C5" w14:textId="6E59287C" w:rsidR="00991EF3" w:rsidRPr="00991EF3" w:rsidRDefault="00991EF3" w:rsidP="00991EF3">
      <w:pPr>
        <w:tabs>
          <w:tab w:val="left" w:pos="3945"/>
        </w:tabs>
        <w:rPr>
          <w:rFonts w:ascii="Times New Roman" w:hAnsi="Times New Roman" w:cs="Times New Roman"/>
          <w:bCs/>
          <w:sz w:val="24"/>
          <w:szCs w:val="24"/>
        </w:rPr>
      </w:pPr>
      <w:r w:rsidRPr="00991EF3">
        <w:rPr>
          <w:rFonts w:ascii="Times New Roman" w:hAnsi="Times New Roman" w:cs="Times New Roman"/>
          <w:bCs/>
          <w:sz w:val="24"/>
          <w:szCs w:val="24"/>
        </w:rPr>
        <w:t xml:space="preserve">Porez na korištenje javnih površina plaćaju pravne i </w:t>
      </w:r>
      <w:r>
        <w:rPr>
          <w:rFonts w:ascii="Times New Roman" w:hAnsi="Times New Roman" w:cs="Times New Roman"/>
          <w:bCs/>
          <w:sz w:val="24"/>
          <w:szCs w:val="24"/>
        </w:rPr>
        <w:t>fi</w:t>
      </w:r>
      <w:r w:rsidRPr="00991EF3">
        <w:rPr>
          <w:rFonts w:ascii="Times New Roman" w:hAnsi="Times New Roman" w:cs="Times New Roman"/>
          <w:bCs/>
          <w:sz w:val="24"/>
          <w:szCs w:val="24"/>
        </w:rPr>
        <w:t>zičke osobe koje koriste javne površine na području Općine</w:t>
      </w:r>
      <w:r>
        <w:rPr>
          <w:rFonts w:ascii="Times New Roman" w:hAnsi="Times New Roman" w:cs="Times New Roman"/>
          <w:bCs/>
          <w:sz w:val="24"/>
          <w:szCs w:val="24"/>
        </w:rPr>
        <w:t xml:space="preserve"> Konavle </w:t>
      </w:r>
      <w:r w:rsidRPr="00991EF3">
        <w:rPr>
          <w:rFonts w:ascii="Times New Roman" w:hAnsi="Times New Roman" w:cs="Times New Roman"/>
          <w:bCs/>
          <w:sz w:val="24"/>
          <w:szCs w:val="24"/>
        </w:rPr>
        <w:t>za postavljanje objekata i naprava privremenog karaktera (kiosk, stol, štand i sl.).</w:t>
      </w:r>
      <w:r w:rsidRPr="00991EF3">
        <w:rPr>
          <w:rFonts w:ascii="Times New Roman" w:hAnsi="Times New Roman" w:cs="Times New Roman"/>
          <w:bCs/>
          <w:sz w:val="24"/>
          <w:szCs w:val="24"/>
        </w:rPr>
        <w:cr/>
      </w:r>
    </w:p>
    <w:p w14:paraId="64162974" w14:textId="04E2DF2E" w:rsidR="00AA14AC" w:rsidRDefault="00AA14AC" w:rsidP="00C52E9B">
      <w:pPr>
        <w:tabs>
          <w:tab w:val="left" w:pos="3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91EF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26C16B" w14:textId="77777777" w:rsidR="00AA14AC" w:rsidRDefault="00AA14AC" w:rsidP="00780319">
      <w:pPr>
        <w:pStyle w:val="box47418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Javnim površinama, u smislu ove Odluke, smatraju se površine u općoj uporabi, i to:</w:t>
      </w:r>
    </w:p>
    <w:p w14:paraId="1CD7021C" w14:textId="011C1DA3" w:rsidR="00AA14AC" w:rsidRDefault="00AA14AC" w:rsidP="00850CAB">
      <w:pPr>
        <w:pStyle w:val="box474188"/>
        <w:numPr>
          <w:ilvl w:val="0"/>
          <w:numId w:val="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javne prometne površine: ceste, ulice, putevi, nogostupi, trgovi, prilazi, okretišta, stajališta javnog prometa i slično;</w:t>
      </w:r>
    </w:p>
    <w:p w14:paraId="7F78B6A6" w14:textId="0E61033C" w:rsidR="00AA14AC" w:rsidRDefault="00AA14AC" w:rsidP="00850CAB">
      <w:pPr>
        <w:pStyle w:val="box474188"/>
        <w:numPr>
          <w:ilvl w:val="0"/>
          <w:numId w:val="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javne zelene površine: parkovi, skupine ili pojedinačna samonikla stabla, travnjaci, zelene površine uz cestu, javni objekti i slične površine koje su uređene i koriste se kao javne zelene površine;</w:t>
      </w:r>
    </w:p>
    <w:p w14:paraId="5503ED46" w14:textId="6DF4CBA3" w:rsidR="00AA14AC" w:rsidRDefault="00AA14AC" w:rsidP="00850CAB">
      <w:pPr>
        <w:pStyle w:val="box474188"/>
        <w:numPr>
          <w:ilvl w:val="0"/>
          <w:numId w:val="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ostale javne površine: dječja i športska igrališta, rekreacijske površine, otvoreni prostori oko zgrada te njima slični prostori.</w:t>
      </w:r>
    </w:p>
    <w:p w14:paraId="3D2BC278" w14:textId="77777777" w:rsidR="00780319" w:rsidRPr="00780319" w:rsidRDefault="00780319" w:rsidP="00780319">
      <w:pPr>
        <w:pStyle w:val="box474188"/>
        <w:shd w:val="clear" w:color="auto" w:fill="FFFFFF"/>
        <w:spacing w:after="48"/>
        <w:jc w:val="both"/>
        <w:textAlignment w:val="baseline"/>
        <w:rPr>
          <w:color w:val="231F20"/>
        </w:rPr>
      </w:pPr>
      <w:r w:rsidRPr="00780319">
        <w:rPr>
          <w:color w:val="231F20"/>
        </w:rPr>
        <w:t>Porez na korištenje javnih površina utvrđuje se u godišnjem iznosu od:</w:t>
      </w:r>
    </w:p>
    <w:p w14:paraId="52D03EB9" w14:textId="2452C88C" w:rsidR="00780319" w:rsidRPr="00780319" w:rsidRDefault="00780319" w:rsidP="00780319">
      <w:pPr>
        <w:pStyle w:val="box474188"/>
        <w:shd w:val="clear" w:color="auto" w:fill="FFFFFF"/>
        <w:spacing w:after="48"/>
        <w:jc w:val="both"/>
        <w:textAlignment w:val="baseline"/>
        <w:rPr>
          <w:color w:val="231F20"/>
        </w:rPr>
      </w:pPr>
      <w:r w:rsidRPr="00780319">
        <w:rPr>
          <w:color w:val="231F20"/>
        </w:rPr>
        <w:t xml:space="preserve">– </w:t>
      </w:r>
      <w:r>
        <w:rPr>
          <w:color w:val="231F20"/>
        </w:rPr>
        <w:t>13,27 €</w:t>
      </w:r>
      <w:r w:rsidRPr="00780319">
        <w:rPr>
          <w:color w:val="231F20"/>
        </w:rPr>
        <w:t xml:space="preserve"> po m² površine koja se koristi za postavljanje montažnog kioska,</w:t>
      </w:r>
    </w:p>
    <w:p w14:paraId="30EBE1ED" w14:textId="15F90446" w:rsidR="00780319" w:rsidRDefault="00780319" w:rsidP="00780319">
      <w:pPr>
        <w:pStyle w:val="box47418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80319">
        <w:rPr>
          <w:color w:val="231F20"/>
        </w:rPr>
        <w:t xml:space="preserve">– </w:t>
      </w:r>
      <w:r>
        <w:rPr>
          <w:color w:val="231F20"/>
        </w:rPr>
        <w:t>2,65 €</w:t>
      </w:r>
      <w:r w:rsidRPr="00780319">
        <w:rPr>
          <w:color w:val="231F20"/>
        </w:rPr>
        <w:t xml:space="preserve"> po m² površine koja se koristi za postavljanje pokretnih naprava ispred ugostiteljskih, zanatskih i trgovačkih</w:t>
      </w:r>
      <w:r>
        <w:rPr>
          <w:color w:val="231F20"/>
        </w:rPr>
        <w:t xml:space="preserve"> </w:t>
      </w:r>
      <w:r w:rsidRPr="00780319">
        <w:rPr>
          <w:color w:val="231F20"/>
        </w:rPr>
        <w:t>radnji radi obavljanja radnji na otvorenom (terase i sl.) ili za izlaganje i prodaju ili reklamu predmeta</w:t>
      </w:r>
      <w:r>
        <w:rPr>
          <w:color w:val="231F20"/>
        </w:rPr>
        <w:t>.</w:t>
      </w:r>
    </w:p>
    <w:p w14:paraId="644710BF" w14:textId="77777777" w:rsidR="00780319" w:rsidRDefault="00780319" w:rsidP="00780319">
      <w:pPr>
        <w:pStyle w:val="box47418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B6B7671" w14:textId="75F53CA5" w:rsidR="00780319" w:rsidRDefault="00780319" w:rsidP="00991EF3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319">
        <w:rPr>
          <w:rFonts w:ascii="Times New Roman" w:hAnsi="Times New Roman" w:cs="Times New Roman"/>
          <w:sz w:val="24"/>
          <w:szCs w:val="24"/>
        </w:rPr>
        <w:t>Poslove utvrđivanja, evidentiranja, nadzora, naplate i ovrhe radi naplate poreza na potrošnju obavlja Ministarstvo financija, mjesno nadležna porezna uprava.</w:t>
      </w:r>
    </w:p>
    <w:p w14:paraId="47041022" w14:textId="77777777" w:rsidR="00AA14AC" w:rsidRDefault="00AA14AC" w:rsidP="00C52E9B">
      <w:pPr>
        <w:tabs>
          <w:tab w:val="left" w:pos="3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E248B" w14:textId="5C2483F8" w:rsidR="002D18F4" w:rsidRPr="00C52E9B" w:rsidRDefault="002D18F4" w:rsidP="00780319">
      <w:pPr>
        <w:tabs>
          <w:tab w:val="left" w:pos="39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780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POREZ NA NEKRETNINE</w:t>
      </w:r>
    </w:p>
    <w:p w14:paraId="7FE7AF03" w14:textId="77777777" w:rsidR="00780319" w:rsidRDefault="00780319" w:rsidP="002D1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1C85AE" w14:textId="7517805F" w:rsidR="0075359D" w:rsidRDefault="0075359D" w:rsidP="00780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80319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159DD7" w14:textId="6A2FD550" w:rsidR="0075359D" w:rsidRDefault="0075359D" w:rsidP="002D1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Općina Konavle propisuje visinu poreza na nekretnine p</w:t>
      </w:r>
      <w:r w:rsidR="00A233CE">
        <w:rPr>
          <w:rFonts w:ascii="Times New Roman" w:hAnsi="Times New Roman" w:cs="Times New Roman"/>
          <w:bCs/>
          <w:sz w:val="24"/>
          <w:szCs w:val="24"/>
        </w:rPr>
        <w:t>rema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E3F">
        <w:rPr>
          <w:rFonts w:ascii="Times New Roman" w:hAnsi="Times New Roman" w:cs="Times New Roman"/>
          <w:bCs/>
          <w:sz w:val="24"/>
          <w:szCs w:val="24"/>
        </w:rPr>
        <w:t xml:space="preserve">područnim </w:t>
      </w:r>
      <w:r>
        <w:rPr>
          <w:rFonts w:ascii="Times New Roman" w:hAnsi="Times New Roman" w:cs="Times New Roman"/>
          <w:bCs/>
          <w:sz w:val="24"/>
          <w:szCs w:val="24"/>
        </w:rPr>
        <w:t>zonama:</w:t>
      </w:r>
    </w:p>
    <w:p w14:paraId="37AAE331" w14:textId="400A3098" w:rsidR="0075359D" w:rsidRDefault="0075359D" w:rsidP="002D1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zona</w:t>
      </w:r>
      <w:r w:rsidR="00904DF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233CE">
        <w:rPr>
          <w:rFonts w:ascii="Times New Roman" w:hAnsi="Times New Roman" w:cs="Times New Roman"/>
          <w:bCs/>
          <w:sz w:val="24"/>
          <w:szCs w:val="24"/>
        </w:rPr>
        <w:tab/>
      </w:r>
      <w:r w:rsidR="00A233CE">
        <w:rPr>
          <w:rFonts w:ascii="Times New Roman" w:hAnsi="Times New Roman" w:cs="Times New Roman"/>
          <w:bCs/>
          <w:sz w:val="24"/>
          <w:szCs w:val="24"/>
        </w:rPr>
        <w:tab/>
      </w:r>
      <w:r w:rsidR="00904DF6">
        <w:rPr>
          <w:rFonts w:ascii="Times New Roman" w:hAnsi="Times New Roman" w:cs="Times New Roman"/>
          <w:bCs/>
          <w:sz w:val="24"/>
          <w:szCs w:val="24"/>
        </w:rPr>
        <w:t xml:space="preserve">Područje </w:t>
      </w:r>
      <w:r>
        <w:rPr>
          <w:rFonts w:ascii="Times New Roman" w:hAnsi="Times New Roman" w:cs="Times New Roman"/>
          <w:bCs/>
          <w:sz w:val="24"/>
          <w:szCs w:val="24"/>
        </w:rPr>
        <w:t>Cavtat</w:t>
      </w:r>
      <w:r w:rsidR="00904DF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, Donjeg Oboda i dijela Zvekovice – južno od magistrale</w:t>
      </w:r>
      <w:r w:rsidR="00904D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9B54D6" w14:textId="61F72044" w:rsidR="0075359D" w:rsidRDefault="0075359D" w:rsidP="00A233CE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 zona</w:t>
      </w:r>
      <w:r w:rsidR="00904DF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3CE">
        <w:rPr>
          <w:rFonts w:ascii="Times New Roman" w:hAnsi="Times New Roman" w:cs="Times New Roman"/>
          <w:bCs/>
          <w:sz w:val="24"/>
          <w:szCs w:val="24"/>
        </w:rPr>
        <w:tab/>
      </w:r>
      <w:r w:rsidR="00904DF6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odručje Gornjeg Oboda, dijela Zvekovice sjeverno od magistrale, Čilipa, Močića, Grude, Molunta i dijelovi ulica Odvojak VII i Odvojak VIII koji spadaju pod mjesto Uskoplje</w:t>
      </w:r>
    </w:p>
    <w:p w14:paraId="02798E33" w14:textId="11B25FD2" w:rsidR="0075359D" w:rsidRDefault="0075359D" w:rsidP="002D1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 zona</w:t>
      </w:r>
      <w:r w:rsidR="00A233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233CE">
        <w:rPr>
          <w:rFonts w:ascii="Times New Roman" w:hAnsi="Times New Roman" w:cs="Times New Roman"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Cs/>
          <w:sz w:val="24"/>
          <w:szCs w:val="24"/>
        </w:rPr>
        <w:t>odručje Komaja, Popovića, Radovčića, Poljica, Pločica i Mikulića</w:t>
      </w:r>
    </w:p>
    <w:p w14:paraId="309A5F60" w14:textId="7ACC10D7" w:rsidR="0075359D" w:rsidRDefault="0075359D" w:rsidP="00A233CE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 zona</w:t>
      </w:r>
      <w:r w:rsidR="00A233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233CE">
        <w:rPr>
          <w:rFonts w:ascii="Times New Roman" w:hAnsi="Times New Roman" w:cs="Times New Roman"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Cs/>
          <w:sz w:val="24"/>
          <w:szCs w:val="24"/>
        </w:rPr>
        <w:t>odručje Gabrila, Drvenika, Mihanića, Pridvorja, Lovorne, Ljute, Dunava, Dubravke, Vodovađe, Paljeg brda, Zastolja i ostalog dijela Uskoplja</w:t>
      </w:r>
    </w:p>
    <w:p w14:paraId="2A95A0BA" w14:textId="7F850FF2" w:rsidR="0075359D" w:rsidRPr="0075359D" w:rsidRDefault="0075359D" w:rsidP="00A233CE">
      <w:pP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zona</w:t>
      </w:r>
      <w:r w:rsidR="00A233CE">
        <w:rPr>
          <w:rFonts w:ascii="Times New Roman" w:hAnsi="Times New Roman" w:cs="Times New Roman"/>
          <w:bCs/>
          <w:sz w:val="24"/>
          <w:szCs w:val="24"/>
        </w:rPr>
        <w:t>:</w:t>
      </w:r>
      <w:r w:rsidR="00A233CE">
        <w:rPr>
          <w:rFonts w:ascii="Times New Roman" w:hAnsi="Times New Roman" w:cs="Times New Roman"/>
          <w:bCs/>
          <w:sz w:val="24"/>
          <w:szCs w:val="24"/>
        </w:rPr>
        <w:tab/>
      </w:r>
      <w:r w:rsidR="00D900C3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odručje </w:t>
      </w:r>
      <w:r w:rsidR="00904DF6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onavoslih brda, Gunjine, </w:t>
      </w:r>
      <w:r w:rsidR="00904DF6">
        <w:rPr>
          <w:rFonts w:ascii="Times New Roman" w:hAnsi="Times New Roman" w:cs="Times New Roman"/>
          <w:bCs/>
          <w:sz w:val="24"/>
          <w:szCs w:val="24"/>
        </w:rPr>
        <w:t xml:space="preserve">Bana, </w:t>
      </w:r>
      <w:r>
        <w:rPr>
          <w:rFonts w:ascii="Times New Roman" w:hAnsi="Times New Roman" w:cs="Times New Roman"/>
          <w:bCs/>
          <w:sz w:val="24"/>
          <w:szCs w:val="24"/>
        </w:rPr>
        <w:t>Gornje Dubravke, Dunava krajnjih, Vitaljine i Đurinići</w:t>
      </w:r>
    </w:p>
    <w:p w14:paraId="213B63BA" w14:textId="13609AD0" w:rsidR="002D18F4" w:rsidRPr="00C52E9B" w:rsidRDefault="002D18F4" w:rsidP="00C52E9B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A14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426846" w14:textId="77777777" w:rsidR="002D18F4" w:rsidRDefault="002D18F4" w:rsidP="002D18F4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506E635F" w14:textId="788F3E09" w:rsidR="00696CC0" w:rsidRDefault="002D18F4" w:rsidP="00AA14AC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nekretnine na području Općine</w:t>
      </w:r>
      <w:r w:rsidR="00904DF6">
        <w:rPr>
          <w:rFonts w:ascii="Times New Roman" w:hAnsi="Times New Roman" w:cs="Times New Roman"/>
          <w:sz w:val="24"/>
          <w:szCs w:val="24"/>
        </w:rPr>
        <w:t xml:space="preserve"> Konavle </w:t>
      </w:r>
      <w:r w:rsidR="00A233CE">
        <w:rPr>
          <w:rFonts w:ascii="Times New Roman" w:hAnsi="Times New Roman" w:cs="Times New Roman"/>
          <w:sz w:val="24"/>
          <w:szCs w:val="24"/>
        </w:rPr>
        <w:t>utvrđuj</w:t>
      </w:r>
      <w:r w:rsidR="009674D6">
        <w:rPr>
          <w:rFonts w:ascii="Times New Roman" w:hAnsi="Times New Roman" w:cs="Times New Roman"/>
          <w:sz w:val="24"/>
          <w:szCs w:val="24"/>
        </w:rPr>
        <w:t>e</w:t>
      </w:r>
      <w:r w:rsidR="00A233CE">
        <w:rPr>
          <w:rFonts w:ascii="Times New Roman" w:hAnsi="Times New Roman" w:cs="Times New Roman"/>
          <w:sz w:val="24"/>
          <w:szCs w:val="24"/>
        </w:rPr>
        <w:t xml:space="preserve"> se </w:t>
      </w:r>
      <w:r w:rsidR="00696CC0">
        <w:rPr>
          <w:rFonts w:ascii="Times New Roman" w:hAnsi="Times New Roman" w:cs="Times New Roman"/>
          <w:sz w:val="24"/>
          <w:szCs w:val="24"/>
        </w:rPr>
        <w:t>u slijedećim iznosima:</w:t>
      </w:r>
    </w:p>
    <w:p w14:paraId="138A7DE2" w14:textId="58D59A44" w:rsidR="00696CC0" w:rsidRPr="009674D6" w:rsidRDefault="00E06C4F" w:rsidP="009674D6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6CC0" w:rsidRPr="009674D6">
        <w:rPr>
          <w:rFonts w:ascii="Times New Roman" w:hAnsi="Times New Roman" w:cs="Times New Roman"/>
          <w:sz w:val="24"/>
          <w:szCs w:val="24"/>
        </w:rPr>
        <w:t>I</w:t>
      </w:r>
      <w:r w:rsidR="009674D6">
        <w:rPr>
          <w:rFonts w:ascii="Times New Roman" w:hAnsi="Times New Roman" w:cs="Times New Roman"/>
          <w:sz w:val="24"/>
          <w:szCs w:val="24"/>
        </w:rPr>
        <w:t xml:space="preserve">    </w:t>
      </w:r>
      <w:r w:rsidR="00696CC0" w:rsidRPr="009674D6">
        <w:rPr>
          <w:rFonts w:ascii="Times New Roman" w:hAnsi="Times New Roman" w:cs="Times New Roman"/>
          <w:sz w:val="24"/>
          <w:szCs w:val="24"/>
        </w:rPr>
        <w:t xml:space="preserve">zona u iznosu od 4,00 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€ </w:t>
      </w:r>
      <w:r w:rsidR="00696CC0" w:rsidRPr="009674D6">
        <w:rPr>
          <w:rFonts w:ascii="Times New Roman" w:hAnsi="Times New Roman" w:cs="Times New Roman"/>
          <w:sz w:val="24"/>
          <w:szCs w:val="24"/>
        </w:rPr>
        <w:t>po m2 korisne površine nekretnine</w:t>
      </w:r>
    </w:p>
    <w:p w14:paraId="430BF5A2" w14:textId="0A308CFF" w:rsidR="00696CC0" w:rsidRPr="009674D6" w:rsidRDefault="00E06C4F" w:rsidP="009674D6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C0" w:rsidRPr="009674D6">
        <w:rPr>
          <w:rFonts w:ascii="Times New Roman" w:hAnsi="Times New Roman" w:cs="Times New Roman"/>
          <w:sz w:val="24"/>
          <w:szCs w:val="24"/>
        </w:rPr>
        <w:t xml:space="preserve">II </w:t>
      </w:r>
      <w:r w:rsidR="0096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C0" w:rsidRPr="009674D6">
        <w:rPr>
          <w:rFonts w:ascii="Times New Roman" w:hAnsi="Times New Roman" w:cs="Times New Roman"/>
          <w:sz w:val="24"/>
          <w:szCs w:val="24"/>
        </w:rPr>
        <w:t xml:space="preserve">zona u iznosu 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od </w:t>
      </w:r>
      <w:r w:rsidR="00696CC0" w:rsidRPr="009674D6">
        <w:rPr>
          <w:rFonts w:ascii="Times New Roman" w:hAnsi="Times New Roman" w:cs="Times New Roman"/>
          <w:sz w:val="24"/>
          <w:szCs w:val="24"/>
        </w:rPr>
        <w:t>3,00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 € po m2 korisne površine nekretnine</w:t>
      </w:r>
    </w:p>
    <w:p w14:paraId="3CDB19F9" w14:textId="54F478A9" w:rsidR="00696CC0" w:rsidRPr="009674D6" w:rsidRDefault="00696CC0" w:rsidP="009674D6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4D6">
        <w:rPr>
          <w:rFonts w:ascii="Times New Roman" w:hAnsi="Times New Roman" w:cs="Times New Roman"/>
          <w:sz w:val="24"/>
          <w:szCs w:val="24"/>
        </w:rPr>
        <w:t xml:space="preserve">III </w:t>
      </w:r>
      <w:r w:rsidR="00E06C4F">
        <w:rPr>
          <w:rFonts w:ascii="Times New Roman" w:hAnsi="Times New Roman" w:cs="Times New Roman"/>
          <w:sz w:val="24"/>
          <w:szCs w:val="24"/>
        </w:rPr>
        <w:t xml:space="preserve"> </w:t>
      </w:r>
      <w:r w:rsidRPr="009674D6">
        <w:rPr>
          <w:rFonts w:ascii="Times New Roman" w:hAnsi="Times New Roman" w:cs="Times New Roman"/>
          <w:sz w:val="24"/>
          <w:szCs w:val="24"/>
        </w:rPr>
        <w:t xml:space="preserve">zona 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9674D6">
        <w:rPr>
          <w:rFonts w:ascii="Times New Roman" w:hAnsi="Times New Roman" w:cs="Times New Roman"/>
          <w:sz w:val="24"/>
          <w:szCs w:val="24"/>
        </w:rPr>
        <w:t>2,00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 € po m2 korisne površine nekretnine</w:t>
      </w:r>
    </w:p>
    <w:p w14:paraId="3C80424B" w14:textId="39EAD7F2" w:rsidR="00696CC0" w:rsidRPr="009674D6" w:rsidRDefault="00696CC0" w:rsidP="009674D6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4D6">
        <w:rPr>
          <w:rFonts w:ascii="Times New Roman" w:hAnsi="Times New Roman" w:cs="Times New Roman"/>
          <w:sz w:val="24"/>
          <w:szCs w:val="24"/>
        </w:rPr>
        <w:t xml:space="preserve">IV </w:t>
      </w:r>
      <w:r w:rsidR="00E06C4F">
        <w:rPr>
          <w:rFonts w:ascii="Times New Roman" w:hAnsi="Times New Roman" w:cs="Times New Roman"/>
          <w:sz w:val="24"/>
          <w:szCs w:val="24"/>
        </w:rPr>
        <w:t xml:space="preserve"> </w:t>
      </w:r>
      <w:r w:rsidRPr="009674D6">
        <w:rPr>
          <w:rFonts w:ascii="Times New Roman" w:hAnsi="Times New Roman" w:cs="Times New Roman"/>
          <w:sz w:val="24"/>
          <w:szCs w:val="24"/>
        </w:rPr>
        <w:t xml:space="preserve">zona 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9674D6">
        <w:rPr>
          <w:rFonts w:ascii="Times New Roman" w:hAnsi="Times New Roman" w:cs="Times New Roman"/>
          <w:sz w:val="24"/>
          <w:szCs w:val="24"/>
        </w:rPr>
        <w:t>1,00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 € po m2 korisne površine nekretnine</w:t>
      </w:r>
    </w:p>
    <w:p w14:paraId="1F7C131C" w14:textId="158C1413" w:rsidR="00696CC0" w:rsidRPr="009674D6" w:rsidRDefault="00E06C4F" w:rsidP="009674D6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C0" w:rsidRPr="009674D6">
        <w:rPr>
          <w:rFonts w:ascii="Times New Roman" w:hAnsi="Times New Roman" w:cs="Times New Roman"/>
          <w:sz w:val="24"/>
          <w:szCs w:val="24"/>
        </w:rPr>
        <w:t xml:space="preserve">V </w:t>
      </w:r>
      <w:r w:rsidR="009674D6">
        <w:rPr>
          <w:rFonts w:ascii="Times New Roman" w:hAnsi="Times New Roman" w:cs="Times New Roman"/>
          <w:sz w:val="24"/>
          <w:szCs w:val="24"/>
        </w:rPr>
        <w:t xml:space="preserve"> </w:t>
      </w:r>
      <w:r w:rsidR="00696CC0" w:rsidRPr="009674D6">
        <w:rPr>
          <w:rFonts w:ascii="Times New Roman" w:hAnsi="Times New Roman" w:cs="Times New Roman"/>
          <w:sz w:val="24"/>
          <w:szCs w:val="24"/>
        </w:rPr>
        <w:t xml:space="preserve">zona 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96CC0" w:rsidRPr="009674D6">
        <w:rPr>
          <w:rFonts w:ascii="Times New Roman" w:hAnsi="Times New Roman" w:cs="Times New Roman"/>
          <w:sz w:val="24"/>
          <w:szCs w:val="24"/>
        </w:rPr>
        <w:t>0,60</w:t>
      </w:r>
      <w:r w:rsidR="009674D6" w:rsidRPr="009674D6">
        <w:rPr>
          <w:rFonts w:ascii="Times New Roman" w:hAnsi="Times New Roman" w:cs="Times New Roman"/>
          <w:sz w:val="24"/>
          <w:szCs w:val="24"/>
        </w:rPr>
        <w:t xml:space="preserve"> € po m2 korisne površine nekretnine</w:t>
      </w:r>
    </w:p>
    <w:p w14:paraId="4A0CBA0B" w14:textId="77777777" w:rsidR="009674D6" w:rsidRDefault="009674D6" w:rsidP="00696CC0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4A076B" w14:textId="084E92F2" w:rsidR="009674D6" w:rsidRDefault="009674D6" w:rsidP="00696CC0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4D6">
        <w:rPr>
          <w:rFonts w:ascii="Times New Roman" w:hAnsi="Times New Roman" w:cs="Times New Roman"/>
          <w:sz w:val="24"/>
          <w:szCs w:val="24"/>
        </w:rPr>
        <w:t>Porez na nekretnine ne plaća se na nekretnine koje su izuzete sukladno čl. 5. Zakona o izmjenama i dopun</w:t>
      </w:r>
      <w:r w:rsidR="00E06C4F">
        <w:rPr>
          <w:rFonts w:ascii="Times New Roman" w:hAnsi="Times New Roman" w:cs="Times New Roman"/>
          <w:sz w:val="24"/>
          <w:szCs w:val="24"/>
        </w:rPr>
        <w:t>i</w:t>
      </w:r>
      <w:r w:rsidRPr="009674D6">
        <w:rPr>
          <w:rFonts w:ascii="Times New Roman" w:hAnsi="Times New Roman" w:cs="Times New Roman"/>
          <w:sz w:val="24"/>
          <w:szCs w:val="24"/>
        </w:rPr>
        <w:t xml:space="preserve"> Zakona o lokalnim porezima</w:t>
      </w:r>
      <w:r w:rsidR="00E06C4F">
        <w:rPr>
          <w:rFonts w:ascii="Times New Roman" w:hAnsi="Times New Roman" w:cs="Times New Roman"/>
          <w:sz w:val="24"/>
          <w:szCs w:val="24"/>
        </w:rPr>
        <w:t xml:space="preserve"> (NN 152/24)</w:t>
      </w:r>
      <w:r w:rsidRPr="009674D6">
        <w:rPr>
          <w:rFonts w:ascii="Times New Roman" w:hAnsi="Times New Roman" w:cs="Times New Roman"/>
          <w:sz w:val="24"/>
          <w:szCs w:val="24"/>
        </w:rPr>
        <w:t>.</w:t>
      </w:r>
    </w:p>
    <w:p w14:paraId="7DEC30DC" w14:textId="75F5E72B" w:rsidR="00696CC0" w:rsidRDefault="00696CC0" w:rsidP="00696CC0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CC0">
        <w:rPr>
          <w:rFonts w:ascii="Times New Roman" w:hAnsi="Times New Roman" w:cs="Times New Roman"/>
          <w:sz w:val="24"/>
          <w:szCs w:val="24"/>
        </w:rPr>
        <w:t>Poslove utvrđivanja, evidentiranja, nadzora, naplate i ovrhe radi naplate poreza na nekretnine obavlja Ministarstvo financija, mjesno nadležna porezna uprava.</w:t>
      </w:r>
    </w:p>
    <w:p w14:paraId="691B7383" w14:textId="77777777" w:rsidR="00696CC0" w:rsidRDefault="00696CC0" w:rsidP="00AA14AC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2B51B6" w14:textId="77777777" w:rsidR="00696CC0" w:rsidRDefault="00696CC0" w:rsidP="00AA14AC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A24BCE" w14:textId="77777777" w:rsidR="002D18F4" w:rsidRDefault="002D18F4" w:rsidP="002D18F4">
      <w:pPr>
        <w:rPr>
          <w:rFonts w:ascii="Times New Roman" w:hAnsi="Times New Roman" w:cs="Times New Roman"/>
          <w:sz w:val="24"/>
          <w:szCs w:val="24"/>
        </w:rPr>
      </w:pPr>
    </w:p>
    <w:p w14:paraId="39B6D33C" w14:textId="49680D9A" w:rsidR="00C52E9B" w:rsidRPr="00C52E9B" w:rsidRDefault="00C52E9B" w:rsidP="00E06C4F">
      <w:pPr>
        <w:tabs>
          <w:tab w:val="left" w:pos="40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A14A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DAVANJE OVLASTI FINA-i</w:t>
      </w:r>
    </w:p>
    <w:p w14:paraId="27F37257" w14:textId="75F5E491" w:rsidR="00C52E9B" w:rsidRPr="00C52E9B" w:rsidRDefault="00C52E9B" w:rsidP="00C52E9B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06C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C3B921" w14:textId="754E739A" w:rsidR="00C52E9B" w:rsidRDefault="00C52E9B" w:rsidP="00AA14AC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uplaćenih prihoda sa osnove poreza na potrošnju, da naknada koja pripada Ministarstvu financija, Poreznoj upravi u iznosu od 5% od ukupno uplaćenih prihoda sa osnove poreza na potrošnju, obračuna i uplati u državni proračun i to do zadnjeg dana u mjesecu za protekli mjesec</w:t>
      </w:r>
    </w:p>
    <w:p w14:paraId="15C128B0" w14:textId="77777777" w:rsidR="00C52E9B" w:rsidRDefault="00C52E9B" w:rsidP="00C52E9B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509B11C7" w14:textId="2E96212D" w:rsidR="00C52E9B" w:rsidRPr="00C52E9B" w:rsidRDefault="00C52E9B" w:rsidP="00E06C4F">
      <w:pPr>
        <w:tabs>
          <w:tab w:val="left" w:pos="41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A14A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</w:p>
    <w:p w14:paraId="5DB5CE8F" w14:textId="77777777" w:rsidR="00E06C4F" w:rsidRDefault="00E06C4F" w:rsidP="00C52E9B">
      <w:pPr>
        <w:tabs>
          <w:tab w:val="left" w:pos="39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972A1" w14:textId="63A2FCBC" w:rsidR="00C52E9B" w:rsidRPr="00C52E9B" w:rsidRDefault="00C52E9B" w:rsidP="00C52E9B">
      <w:pPr>
        <w:tabs>
          <w:tab w:val="left" w:pos="39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A14A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E0C261" w14:textId="256D7C42" w:rsidR="00C52E9B" w:rsidRDefault="00C52E9B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</w:t>
      </w:r>
      <w:r w:rsidR="000F0D41">
        <w:rPr>
          <w:rFonts w:ascii="Times New Roman" w:hAnsi="Times New Roman" w:cs="Times New Roman"/>
          <w:sz w:val="24"/>
          <w:szCs w:val="24"/>
        </w:rPr>
        <w:t>o općinskim porezima Općine Konavle od dana 21. ožujka 2017. god., KLASA:021-05/02-17/281, URBROJ: 2117/02-01-17-1.</w:t>
      </w:r>
    </w:p>
    <w:p w14:paraId="690F6363" w14:textId="77777777" w:rsidR="00C52E9B" w:rsidRDefault="00C52E9B" w:rsidP="00C52E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57C09" w14:textId="04975EFF" w:rsidR="00C52E9B" w:rsidRPr="00C52E9B" w:rsidRDefault="00C52E9B" w:rsidP="00C52E9B">
      <w:pPr>
        <w:tabs>
          <w:tab w:val="left" w:pos="39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9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A14A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52E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E117D1" w14:textId="657004A0" w:rsidR="00C52E9B" w:rsidRDefault="00C52E9B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</w:t>
      </w:r>
      <w:r w:rsidR="000F0D41">
        <w:rPr>
          <w:rFonts w:ascii="Times New Roman" w:hAnsi="Times New Roman" w:cs="Times New Roman"/>
          <w:sz w:val="24"/>
          <w:szCs w:val="24"/>
        </w:rPr>
        <w:t xml:space="preserve">iti će se u „Narodnim novinama“ i Službenom glasniku Općine Konavle. </w:t>
      </w:r>
    </w:p>
    <w:p w14:paraId="16CF67A4" w14:textId="258376E7" w:rsidR="000F0D41" w:rsidRDefault="000F0D41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3F754A12" w14:textId="22BDF8A4" w:rsidR="000F0D41" w:rsidRDefault="000F0D41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6CF86678" w14:textId="4F2912D0" w:rsidR="000F0D41" w:rsidRDefault="000F0D41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Cavtat, _____________</w:t>
      </w:r>
    </w:p>
    <w:p w14:paraId="6B050CB7" w14:textId="77777777" w:rsidR="000F0D41" w:rsidRDefault="000F0D41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14:paraId="3BC5C397" w14:textId="77777777" w:rsidR="000F0D41" w:rsidRDefault="000F0D41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14:paraId="2CED3C1E" w14:textId="289F7B48" w:rsidR="000F0D41" w:rsidRDefault="000F0D41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094936FA" w14:textId="3A1FC17A" w:rsidR="000F0D41" w:rsidRPr="00C52E9B" w:rsidRDefault="000F0D41" w:rsidP="00C52E9B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Ivo Simović</w:t>
      </w:r>
    </w:p>
    <w:sectPr w:rsidR="000F0D41" w:rsidRPr="00C52E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47B0"/>
    <w:multiLevelType w:val="hybridMultilevel"/>
    <w:tmpl w:val="7C847940"/>
    <w:lvl w:ilvl="0" w:tplc="9A9E2D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3ABA"/>
    <w:multiLevelType w:val="hybridMultilevel"/>
    <w:tmpl w:val="CB3A1C6A"/>
    <w:lvl w:ilvl="0" w:tplc="041863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2B45"/>
    <w:multiLevelType w:val="hybridMultilevel"/>
    <w:tmpl w:val="EE50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3817"/>
    <w:multiLevelType w:val="hybridMultilevel"/>
    <w:tmpl w:val="324A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2ADB"/>
    <w:multiLevelType w:val="hybridMultilevel"/>
    <w:tmpl w:val="DCCC2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5649"/>
    <w:multiLevelType w:val="hybridMultilevel"/>
    <w:tmpl w:val="B8425E5E"/>
    <w:lvl w:ilvl="0" w:tplc="70DAB8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00715"/>
    <w:multiLevelType w:val="hybridMultilevel"/>
    <w:tmpl w:val="03D8E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116D0"/>
    <w:multiLevelType w:val="hybridMultilevel"/>
    <w:tmpl w:val="F37A4B8A"/>
    <w:lvl w:ilvl="0" w:tplc="C6E4A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12A4B"/>
    <w:multiLevelType w:val="hybridMultilevel"/>
    <w:tmpl w:val="8564CB5A"/>
    <w:lvl w:ilvl="0" w:tplc="D8025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96"/>
    <w:rsid w:val="00012BFC"/>
    <w:rsid w:val="00074F3E"/>
    <w:rsid w:val="000F0D41"/>
    <w:rsid w:val="001B0FDD"/>
    <w:rsid w:val="00202B01"/>
    <w:rsid w:val="00240D96"/>
    <w:rsid w:val="002D18F4"/>
    <w:rsid w:val="00316FD6"/>
    <w:rsid w:val="00375DC3"/>
    <w:rsid w:val="003A2E3F"/>
    <w:rsid w:val="00440D15"/>
    <w:rsid w:val="004F0049"/>
    <w:rsid w:val="00536F83"/>
    <w:rsid w:val="005C05A5"/>
    <w:rsid w:val="005D5C19"/>
    <w:rsid w:val="005D6FA1"/>
    <w:rsid w:val="005E70CF"/>
    <w:rsid w:val="0069402A"/>
    <w:rsid w:val="00696CC0"/>
    <w:rsid w:val="007040E1"/>
    <w:rsid w:val="0075359D"/>
    <w:rsid w:val="00780319"/>
    <w:rsid w:val="00850CAB"/>
    <w:rsid w:val="008D497B"/>
    <w:rsid w:val="00904DF6"/>
    <w:rsid w:val="009674D6"/>
    <w:rsid w:val="00987419"/>
    <w:rsid w:val="00991EF3"/>
    <w:rsid w:val="00A233CE"/>
    <w:rsid w:val="00A61B28"/>
    <w:rsid w:val="00AA14AC"/>
    <w:rsid w:val="00B41C9D"/>
    <w:rsid w:val="00B60AB4"/>
    <w:rsid w:val="00B969B9"/>
    <w:rsid w:val="00C52E9B"/>
    <w:rsid w:val="00C83AC9"/>
    <w:rsid w:val="00CD32E9"/>
    <w:rsid w:val="00D1480A"/>
    <w:rsid w:val="00D900C3"/>
    <w:rsid w:val="00DD4106"/>
    <w:rsid w:val="00DD57F0"/>
    <w:rsid w:val="00DE1815"/>
    <w:rsid w:val="00E06C4F"/>
    <w:rsid w:val="00F00D46"/>
    <w:rsid w:val="00F23811"/>
    <w:rsid w:val="00F459A8"/>
    <w:rsid w:val="00FD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9043"/>
  <w15:chartTrackingRefBased/>
  <w15:docId w15:val="{0DBC02A8-A734-44CF-B5AB-2CAF24B1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9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D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40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D9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69B9"/>
    <w:rPr>
      <w:color w:val="605E5C"/>
      <w:shd w:val="clear" w:color="auto" w:fill="E1DFDD"/>
    </w:rPr>
  </w:style>
  <w:style w:type="paragraph" w:customStyle="1" w:styleId="box474188">
    <w:name w:val="box_474188"/>
    <w:basedOn w:val="Normal"/>
    <w:rsid w:val="00AA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2381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Grašić / Općina Rakovica</dc:creator>
  <cp:keywords/>
  <dc:description/>
  <cp:lastModifiedBy>PC</cp:lastModifiedBy>
  <cp:revision>6</cp:revision>
  <cp:lastPrinted>2022-07-21T10:06:00Z</cp:lastPrinted>
  <dcterms:created xsi:type="dcterms:W3CDTF">2025-01-21T09:22:00Z</dcterms:created>
  <dcterms:modified xsi:type="dcterms:W3CDTF">2025-01-22T10:59:00Z</dcterms:modified>
</cp:coreProperties>
</file>